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0F1700A" w14:textId="77777777" w:rsidR="00CD4B42" w:rsidRDefault="00CD4B42">
      <w:pPr>
        <w:autoSpaceDE w:val="0"/>
        <w:autoSpaceDN w:val="0"/>
        <w:adjustRightInd w:val="0"/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al trattamento dei dati personali secondo le modalità e nei limiti </w:t>
      </w:r>
      <w:r w:rsidR="004C6AC9">
        <w:t>dell’</w:t>
      </w:r>
      <w:r>
        <w:t>informativa</w:t>
      </w:r>
      <w:r w:rsidR="004C6AC9">
        <w:t xml:space="preserve"> di cui </w:t>
      </w:r>
      <w:r w:rsidR="004C6AC9" w:rsidRPr="00FC2AA8">
        <w:rPr>
          <w:highlight w:val="green"/>
        </w:rPr>
        <w:t>all’art. 19 del Disciplinare di gara</w:t>
      </w:r>
      <w:r>
        <w:t>.</w:t>
      </w:r>
    </w:p>
    <w:p w14:paraId="6963E9B3" w14:textId="77777777" w:rsidR="00B1486C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21D6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2021-07-07T13:15:00Z</dcterms:created>
  <dcterms:modified xsi:type="dcterms:W3CDTF">2021-07-07T13:15:00Z</dcterms:modified>
</cp:coreProperties>
</file>